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F1BF" w14:textId="3DCF0222" w:rsidR="00976C0D" w:rsidRPr="00A21BD9" w:rsidRDefault="00653BDD" w:rsidP="00976C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A213C6">
        <w:rPr>
          <w:rFonts w:ascii="Arial" w:hAnsi="Arial" w:cs="Arial"/>
          <w:b/>
          <w:sz w:val="28"/>
          <w:szCs w:val="28"/>
        </w:rPr>
        <w:t>4.6</w:t>
      </w:r>
      <w:r w:rsidR="00976C0D">
        <w:rPr>
          <w:rFonts w:ascii="Arial" w:hAnsi="Arial" w:cs="Arial"/>
          <w:b/>
          <w:sz w:val="28"/>
          <w:szCs w:val="28"/>
        </w:rPr>
        <w:t xml:space="preserve"> Oral Health Policy</w:t>
      </w:r>
    </w:p>
    <w:p w14:paraId="20991FEE" w14:textId="77777777" w:rsidR="00976C0D" w:rsidRPr="00785158" w:rsidRDefault="00976C0D" w:rsidP="00976C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D6AA489" w14:textId="77777777" w:rsidR="00976C0D" w:rsidRDefault="00976C0D" w:rsidP="00976C0D">
      <w:pPr>
        <w:spacing w:line="360" w:lineRule="auto"/>
        <w:rPr>
          <w:rFonts w:ascii="Arial" w:hAnsi="Arial" w:cs="Arial"/>
          <w:b/>
        </w:rPr>
      </w:pPr>
      <w:r w:rsidRPr="00A21BD9">
        <w:rPr>
          <w:rFonts w:ascii="Arial" w:hAnsi="Arial" w:cs="Arial"/>
          <w:b/>
        </w:rPr>
        <w:t>Policy statement</w:t>
      </w:r>
    </w:p>
    <w:p w14:paraId="6F36E2A6" w14:textId="77777777" w:rsidR="00976C0D" w:rsidRPr="00B01EA6" w:rsidRDefault="00976C0D" w:rsidP="00976C0D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</w:p>
    <w:p w14:paraId="27A1F411" w14:textId="23B99B04" w:rsidR="00976C0D" w:rsidRDefault="00976C0D" w:rsidP="00976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ppleSystemUIFont" w:eastAsiaTheme="minorHAnsi" w:hAnsi="AppleSystemUIFont" w:cs="AppleSystemUIFont"/>
          <w:sz w:val="26"/>
          <w:szCs w:val="26"/>
        </w:rPr>
        <w:t xml:space="preserve">We promote healthy eating at Gilah which includes food and drink low in sugar to limit damage to children’s teeth.  We promote good oral health habits through discussion, </w:t>
      </w:r>
      <w:r w:rsidR="00BE2ADC">
        <w:rPr>
          <w:rFonts w:ascii="AppleSystemUIFont" w:eastAsiaTheme="minorHAnsi" w:hAnsi="AppleSystemUIFont" w:cs="AppleSystemUIFont"/>
          <w:sz w:val="26"/>
          <w:szCs w:val="26"/>
        </w:rPr>
        <w:t>activities,</w:t>
      </w:r>
      <w:r>
        <w:rPr>
          <w:rFonts w:ascii="AppleSystemUIFont" w:eastAsiaTheme="minorHAnsi" w:hAnsi="AppleSystemUIFont" w:cs="AppleSystemUIFont"/>
          <w:sz w:val="26"/>
          <w:szCs w:val="26"/>
        </w:rPr>
        <w:t xml:space="preserve"> and parent education.</w:t>
      </w:r>
    </w:p>
    <w:p w14:paraId="198A530F" w14:textId="21CA91A9" w:rsidR="00976C0D" w:rsidRDefault="00976C0D" w:rsidP="00976C0D">
      <w:pPr>
        <w:autoSpaceDE w:val="0"/>
        <w:autoSpaceDN w:val="0"/>
        <w:adjustRightInd w:val="0"/>
        <w:spacing w:after="0" w:line="240" w:lineRule="auto"/>
        <w:rPr>
          <w:rFonts w:ascii="AppleSystemUIFont" w:eastAsiaTheme="minorHAnsi" w:hAnsi="AppleSystemUIFont" w:cs="AppleSystemUIFont"/>
          <w:sz w:val="26"/>
          <w:szCs w:val="26"/>
        </w:rPr>
      </w:pPr>
      <w:r>
        <w:rPr>
          <w:rFonts w:ascii="AppleSystemUIFont" w:eastAsiaTheme="minorHAnsi" w:hAnsi="AppleSystemUIFont" w:cs="AppleSystemUIFont"/>
          <w:sz w:val="26"/>
          <w:szCs w:val="26"/>
        </w:rPr>
        <w:t>This has been included because good oral health habits need to be formed from the earliest age. Tooth decay is largely preventable, but it’s still a serious problem among young children.</w:t>
      </w:r>
    </w:p>
    <w:p w14:paraId="6AA12D7B" w14:textId="304CBCD3" w:rsidR="00976C0D" w:rsidRDefault="00976C0D" w:rsidP="00976C0D">
      <w:pPr>
        <w:autoSpaceDE w:val="0"/>
        <w:autoSpaceDN w:val="0"/>
        <w:adjustRightInd w:val="0"/>
        <w:spacing w:after="0" w:line="240" w:lineRule="auto"/>
        <w:rPr>
          <w:rFonts w:ascii="AppleSystemUIFont" w:eastAsiaTheme="minorHAnsi" w:hAnsi="AppleSystemUIFont" w:cs="AppleSystemUIFont"/>
          <w:sz w:val="26"/>
          <w:szCs w:val="26"/>
        </w:rPr>
      </w:pPr>
      <w:r>
        <w:rPr>
          <w:rFonts w:ascii="AppleSystemUIFont" w:eastAsiaTheme="minorHAnsi" w:hAnsi="AppleSystemUIFont" w:cs="AppleSystemUIFont"/>
          <w:sz w:val="26"/>
          <w:szCs w:val="26"/>
        </w:rPr>
        <w:t xml:space="preserve">Nearly a quarter of </w:t>
      </w:r>
      <w:r w:rsidR="00BE2ADC">
        <w:rPr>
          <w:rFonts w:ascii="AppleSystemUIFont" w:eastAsiaTheme="minorHAnsi" w:hAnsi="AppleSystemUIFont" w:cs="AppleSystemUIFont"/>
          <w:sz w:val="26"/>
          <w:szCs w:val="26"/>
        </w:rPr>
        <w:t>5-year-olds</w:t>
      </w:r>
      <w:r>
        <w:rPr>
          <w:rFonts w:ascii="AppleSystemUIFont" w:eastAsiaTheme="minorHAnsi" w:hAnsi="AppleSystemUIFont" w:cs="AppleSystemUIFont"/>
          <w:sz w:val="26"/>
          <w:szCs w:val="26"/>
        </w:rPr>
        <w:t xml:space="preserve"> in England have tooth decay, with 3 or 4 teeth affected on average. Tooth extraction is one of the most common procedures for children under 6 in hospital. Extraction is also the most common reason for hospital admission for children aged 6 to 10. Children from more deprived backgrounds are more likely to have tooth decay.</w:t>
      </w:r>
    </w:p>
    <w:p w14:paraId="445AA904" w14:textId="551CFA96" w:rsidR="00976C0D" w:rsidRDefault="00976C0D" w:rsidP="00976C0D">
      <w:pPr>
        <w:autoSpaceDE w:val="0"/>
        <w:autoSpaceDN w:val="0"/>
        <w:adjustRightInd w:val="0"/>
        <w:spacing w:after="0" w:line="240" w:lineRule="auto"/>
        <w:rPr>
          <w:rFonts w:ascii="AppleSystemUIFont" w:eastAsiaTheme="minorHAnsi" w:hAnsi="AppleSystemUIFont" w:cs="AppleSystemUIFont"/>
          <w:sz w:val="26"/>
          <w:szCs w:val="26"/>
        </w:rPr>
      </w:pPr>
      <w:r>
        <w:rPr>
          <w:rFonts w:ascii="AppleSystemUIFont" w:eastAsiaTheme="minorHAnsi" w:hAnsi="AppleSystemUIFont" w:cs="AppleSystemUIFont"/>
          <w:sz w:val="26"/>
          <w:szCs w:val="26"/>
        </w:rPr>
        <w:t xml:space="preserve">Children who have toothache, or need treatment, may have pain or infections. This can have a wider effect and lead to problems eating, sleeping, </w:t>
      </w:r>
      <w:r w:rsidR="00BE2ADC">
        <w:rPr>
          <w:rFonts w:ascii="AppleSystemUIFont" w:eastAsiaTheme="minorHAnsi" w:hAnsi="AppleSystemUIFont" w:cs="AppleSystemUIFont"/>
          <w:sz w:val="26"/>
          <w:szCs w:val="26"/>
        </w:rPr>
        <w:t>socialising,</w:t>
      </w:r>
      <w:r>
        <w:rPr>
          <w:rFonts w:ascii="AppleSystemUIFont" w:eastAsiaTheme="minorHAnsi" w:hAnsi="AppleSystemUIFont" w:cs="AppleSystemUIFont"/>
          <w:sz w:val="26"/>
          <w:szCs w:val="26"/>
        </w:rPr>
        <w:t xml:space="preserve"> and learning.</w:t>
      </w:r>
    </w:p>
    <w:p w14:paraId="7DF731BA" w14:textId="637F26B6" w:rsidR="00976C0D" w:rsidRPr="00976C0D" w:rsidRDefault="00976C0D" w:rsidP="00976C0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F3BB7DE" w14:textId="77777777" w:rsidR="00976C0D" w:rsidRDefault="00976C0D" w:rsidP="00976C0D">
      <w:pPr>
        <w:spacing w:line="360" w:lineRule="auto"/>
        <w:rPr>
          <w:rFonts w:ascii="Arial" w:hAnsi="Arial" w:cs="Arial"/>
          <w:b/>
        </w:rPr>
      </w:pPr>
      <w:r w:rsidRPr="007177BA">
        <w:rPr>
          <w:rFonts w:ascii="Arial" w:hAnsi="Arial" w:cs="Arial"/>
          <w:b/>
        </w:rPr>
        <w:t>Procedures</w:t>
      </w:r>
    </w:p>
    <w:p w14:paraId="0109668A" w14:textId="77777777" w:rsidR="00976C0D" w:rsidRPr="007177BA" w:rsidRDefault="00976C0D" w:rsidP="00976C0D">
      <w:pPr>
        <w:spacing w:line="360" w:lineRule="auto"/>
        <w:rPr>
          <w:rFonts w:ascii="Arial" w:hAnsi="Arial" w:cs="Arial"/>
          <w:b/>
        </w:rPr>
      </w:pPr>
    </w:p>
    <w:p w14:paraId="60AF7A06" w14:textId="791DAF63" w:rsidR="00976C0D" w:rsidRDefault="00976C0D" w:rsidP="00976C0D">
      <w:pPr>
        <w:spacing w:line="360" w:lineRule="auto"/>
        <w:rPr>
          <w:rFonts w:ascii="Arial" w:hAnsi="Arial" w:cs="Arial"/>
        </w:rPr>
      </w:pPr>
      <w:r w:rsidRPr="007177BA">
        <w:rPr>
          <w:rFonts w:ascii="Arial" w:hAnsi="Arial" w:cs="Arial"/>
        </w:rPr>
        <w:t xml:space="preserve">We follow these procedures to promote </w:t>
      </w:r>
      <w:r>
        <w:rPr>
          <w:rFonts w:ascii="Arial" w:hAnsi="Arial" w:cs="Arial"/>
        </w:rPr>
        <w:t>good oral health</w:t>
      </w:r>
      <w:r w:rsidRPr="00717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Gilah</w:t>
      </w:r>
      <w:r w:rsidRPr="007177BA">
        <w:rPr>
          <w:rFonts w:ascii="Arial" w:hAnsi="Arial" w:cs="Arial"/>
        </w:rPr>
        <w:t>.</w:t>
      </w:r>
    </w:p>
    <w:p w14:paraId="473323B7" w14:textId="59200DE9" w:rsidR="00976C0D" w:rsidRDefault="00976C0D" w:rsidP="00976C0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are encouraged to drink frequently throughout the day. Only milk and water are provided to drink.  </w:t>
      </w:r>
    </w:p>
    <w:p w14:paraId="3A6F09B1" w14:textId="67DE9CA1" w:rsidR="00976C0D" w:rsidRDefault="00976C0D" w:rsidP="00976C0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 encourage children to use open top cups.</w:t>
      </w:r>
    </w:p>
    <w:p w14:paraId="08606A9F" w14:textId="07939A51" w:rsidR="00976C0D" w:rsidRPr="007177BA" w:rsidRDefault="00976C0D" w:rsidP="00976C0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Snacks contain a variety of </w:t>
      </w:r>
      <w:r w:rsidR="00BE2ADC">
        <w:rPr>
          <w:rFonts w:ascii="Arial" w:hAnsi="Arial" w:cs="Arial"/>
        </w:rPr>
        <w:t xml:space="preserve">low sugar </w:t>
      </w:r>
      <w:r>
        <w:rPr>
          <w:rFonts w:ascii="Arial" w:hAnsi="Arial" w:cs="Arial"/>
        </w:rPr>
        <w:t xml:space="preserve">foods including dairy which is </w:t>
      </w:r>
      <w:r w:rsidR="00B36556">
        <w:rPr>
          <w:rFonts w:ascii="Arial" w:hAnsi="Arial" w:cs="Arial"/>
        </w:rPr>
        <w:t>enriched in calcium which is essential for the health of teeth and gums.</w:t>
      </w:r>
    </w:p>
    <w:p w14:paraId="2AE8BC1B" w14:textId="27B88E9B" w:rsidR="00976C0D" w:rsidRDefault="00976C0D" w:rsidP="00B3655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177BA">
        <w:rPr>
          <w:rFonts w:ascii="Arial" w:hAnsi="Arial" w:cs="Arial"/>
        </w:rPr>
        <w:t xml:space="preserve">We </w:t>
      </w:r>
      <w:r w:rsidR="00B36556">
        <w:rPr>
          <w:rFonts w:ascii="Arial" w:hAnsi="Arial" w:cs="Arial"/>
        </w:rPr>
        <w:t xml:space="preserve">discuss the importance </w:t>
      </w:r>
      <w:r w:rsidR="00AF0447">
        <w:rPr>
          <w:rFonts w:ascii="Arial" w:hAnsi="Arial" w:cs="Arial"/>
        </w:rPr>
        <w:t>of</w:t>
      </w:r>
      <w:r w:rsidR="00136C40">
        <w:rPr>
          <w:rFonts w:ascii="Arial" w:hAnsi="Arial" w:cs="Arial"/>
        </w:rPr>
        <w:t xml:space="preserve"> </w:t>
      </w:r>
      <w:r w:rsidR="00B36556">
        <w:rPr>
          <w:rFonts w:ascii="Arial" w:hAnsi="Arial" w:cs="Arial"/>
        </w:rPr>
        <w:t>healthy eating and oral hygiene in an age-appropriate way.</w:t>
      </w:r>
    </w:p>
    <w:p w14:paraId="0F410AC3" w14:textId="732D877E" w:rsidR="00B36556" w:rsidRPr="007177BA" w:rsidRDefault="00B36556" w:rsidP="00B3655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include healthy cooking activities limiting foods high in sugar for special occasions, birthdays, festivals </w:t>
      </w:r>
      <w:r w:rsidR="00BE2ADC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</w:p>
    <w:p w14:paraId="6B7D5E25" w14:textId="3FDEEA4F" w:rsidR="00976C0D" w:rsidRPr="007177BA" w:rsidRDefault="00B36556" w:rsidP="00976C0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177BA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advise parents to brush their children’s teeth and visit the dentist regularly.</w:t>
      </w:r>
    </w:p>
    <w:p w14:paraId="30A7CC19" w14:textId="77777777" w:rsidR="00DC0809" w:rsidRDefault="00976C0D" w:rsidP="00976C0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177BA">
        <w:rPr>
          <w:rFonts w:ascii="Arial" w:hAnsi="Arial" w:cs="Arial"/>
        </w:rPr>
        <w:t xml:space="preserve">We have </w:t>
      </w:r>
      <w:r w:rsidR="00B36556">
        <w:rPr>
          <w:rFonts w:ascii="Arial" w:hAnsi="Arial" w:cs="Arial"/>
        </w:rPr>
        <w:t>resources to encourage good oral health habits in play through using toothbrushes in waterplay, role play and using model teeth.</w:t>
      </w:r>
    </w:p>
    <w:p w14:paraId="2E950175" w14:textId="5C6D1873" w:rsidR="00976C0D" w:rsidRPr="007177BA" w:rsidRDefault="00DC0809" w:rsidP="00976C0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read stories about teeth and smiles, talk about healthy food and drinks that grow strong teeth and those that do not. We look at each o</w:t>
      </w:r>
      <w:r w:rsidR="00AF0447">
        <w:rPr>
          <w:rFonts w:ascii="Arial" w:hAnsi="Arial" w:cs="Arial"/>
        </w:rPr>
        <w:t xml:space="preserve">ther and our </w:t>
      </w:r>
      <w:r>
        <w:rPr>
          <w:rFonts w:ascii="Arial" w:hAnsi="Arial" w:cs="Arial"/>
        </w:rPr>
        <w:t>teeth using mirrors.</w:t>
      </w:r>
      <w:r w:rsidR="00B36556">
        <w:rPr>
          <w:rFonts w:ascii="Arial" w:hAnsi="Arial" w:cs="Arial"/>
        </w:rPr>
        <w:t xml:space="preserve"> </w:t>
      </w:r>
    </w:p>
    <w:p w14:paraId="6B1E3284" w14:textId="77777777" w:rsidR="00DC0809" w:rsidRDefault="00DC0809" w:rsidP="00976C0D">
      <w:pPr>
        <w:spacing w:line="360" w:lineRule="auto"/>
        <w:rPr>
          <w:rFonts w:ascii="Arial" w:hAnsi="Arial" w:cs="Arial"/>
          <w:b/>
        </w:rPr>
      </w:pPr>
    </w:p>
    <w:p w14:paraId="02B02F4E" w14:textId="77777777" w:rsidR="00DC0809" w:rsidRDefault="00DC0809" w:rsidP="00976C0D">
      <w:pPr>
        <w:spacing w:line="360" w:lineRule="auto"/>
        <w:rPr>
          <w:rFonts w:ascii="Arial" w:hAnsi="Arial" w:cs="Arial"/>
          <w:b/>
        </w:rPr>
      </w:pPr>
    </w:p>
    <w:p w14:paraId="0AAD439A" w14:textId="0084D370" w:rsidR="00976C0D" w:rsidRPr="007177BA" w:rsidRDefault="00976C0D" w:rsidP="00976C0D">
      <w:pPr>
        <w:spacing w:line="360" w:lineRule="auto"/>
        <w:rPr>
          <w:rFonts w:ascii="Arial" w:hAnsi="Arial" w:cs="Arial"/>
          <w:b/>
        </w:rPr>
      </w:pPr>
      <w:r w:rsidRPr="007177BA">
        <w:rPr>
          <w:rFonts w:ascii="Arial" w:hAnsi="Arial" w:cs="Arial"/>
          <w:b/>
        </w:rPr>
        <w:t>Legal framework</w:t>
      </w:r>
    </w:p>
    <w:p w14:paraId="3407319B" w14:textId="7333C256" w:rsidR="00976C0D" w:rsidRDefault="00DC0809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EYFS framework 2021</w:t>
      </w:r>
    </w:p>
    <w:p w14:paraId="1306C5CD" w14:textId="77777777" w:rsidR="00976C0D" w:rsidRDefault="00976C0D" w:rsidP="00976C0D">
      <w:pPr>
        <w:spacing w:line="360" w:lineRule="auto"/>
        <w:rPr>
          <w:rFonts w:ascii="Arial" w:hAnsi="Arial" w:cs="Arial"/>
        </w:rPr>
      </w:pPr>
    </w:p>
    <w:p w14:paraId="05DF0FAF" w14:textId="77777777" w:rsidR="00976C0D" w:rsidRPr="007177BA" w:rsidRDefault="00976C0D" w:rsidP="00976C0D">
      <w:pPr>
        <w:spacing w:line="360" w:lineRule="auto"/>
        <w:rPr>
          <w:rFonts w:ascii="Arial" w:hAnsi="Arial" w:cs="Arial"/>
          <w:b/>
        </w:rPr>
      </w:pPr>
      <w:r w:rsidRPr="007177BA">
        <w:rPr>
          <w:rFonts w:ascii="Arial" w:hAnsi="Arial" w:cs="Arial"/>
          <w:b/>
        </w:rPr>
        <w:t>Further guidance</w:t>
      </w:r>
    </w:p>
    <w:p w14:paraId="5969679E" w14:textId="245DFD80" w:rsidR="00976C0D" w:rsidRDefault="00A213C6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hyperlink r:id="rId5" w:history="1">
        <w:r w:rsidR="00B36556" w:rsidRPr="00DB3779">
          <w:rPr>
            <w:rStyle w:val="Hyperlink"/>
            <w:rFonts w:ascii="Arial" w:hAnsi="Arial" w:cs="Arial"/>
          </w:rPr>
          <w:t>https://help-for-early-years-providers.education.gov.uk/safeguarding-and-welfare/oral-health</w:t>
        </w:r>
      </w:hyperlink>
    </w:p>
    <w:p w14:paraId="2E3B0041" w14:textId="5E502039" w:rsidR="00B36556" w:rsidRDefault="00A213C6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hyperlink r:id="rId6" w:history="1">
        <w:r w:rsidR="00B36556" w:rsidRPr="00DB3779">
          <w:rPr>
            <w:rStyle w:val="Hyperlink"/>
            <w:rFonts w:ascii="Arial" w:hAnsi="Arial" w:cs="Arial"/>
          </w:rPr>
          <w:t>https://www.gov.uk/government/publications/improving-oral-health-supervised-tooth-brushing-programme-toolkit</w:t>
        </w:r>
      </w:hyperlink>
    </w:p>
    <w:p w14:paraId="481AC9AB" w14:textId="61803D92" w:rsidR="00B36556" w:rsidRDefault="00A213C6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hyperlink r:id="rId7" w:history="1">
        <w:r w:rsidR="00B36556" w:rsidRPr="00DB3779">
          <w:rPr>
            <w:rStyle w:val="Hyperlink"/>
            <w:rFonts w:ascii="Arial" w:hAnsi="Arial" w:cs="Arial"/>
          </w:rPr>
          <w:t>https://www.gov.uk/government/collections/oral-health</w:t>
        </w:r>
      </w:hyperlink>
    </w:p>
    <w:p w14:paraId="7BE9BBB1" w14:textId="65FE2573" w:rsidR="00B36556" w:rsidRDefault="00A213C6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hyperlink r:id="rId8" w:history="1">
        <w:r w:rsidR="00B36556" w:rsidRPr="00DB3779">
          <w:rPr>
            <w:rStyle w:val="Hyperlink"/>
            <w:rFonts w:ascii="Arial" w:hAnsi="Arial" w:cs="Arial"/>
          </w:rPr>
          <w:t>https://www.gov.uk/government/publications/covid-19-supervised-toothbrushing-programmes</w:t>
        </w:r>
      </w:hyperlink>
    </w:p>
    <w:p w14:paraId="2768D4AC" w14:textId="58B47258" w:rsidR="00B36556" w:rsidRDefault="00A213C6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hyperlink r:id="rId9" w:history="1">
        <w:r w:rsidR="00B36556" w:rsidRPr="00DB3779">
          <w:rPr>
            <w:rStyle w:val="Hyperlink"/>
            <w:rFonts w:ascii="Arial" w:hAnsi="Arial" w:cs="Arial"/>
          </w:rPr>
          <w:t>https://www.gov.uk/government/case-studies/smile4life-in-north-west-england</w:t>
        </w:r>
      </w:hyperlink>
    </w:p>
    <w:p w14:paraId="139172B0" w14:textId="26B7F0C1" w:rsidR="00B36556" w:rsidRDefault="00A213C6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hyperlink r:id="rId10" w:history="1">
        <w:r w:rsidR="00DC0809" w:rsidRPr="00DB3779">
          <w:rPr>
            <w:rStyle w:val="Hyperlink"/>
            <w:rFonts w:ascii="Arial" w:hAnsi="Arial" w:cs="Arial"/>
          </w:rPr>
          <w:t>https://www.pacey.org.uk/working-in-childcare/spotlight-on/oral-health/</w:t>
        </w:r>
      </w:hyperlink>
    </w:p>
    <w:p w14:paraId="2040DFEA" w14:textId="77777777" w:rsidR="00DC0809" w:rsidRPr="00A21BD9" w:rsidRDefault="00DC0809" w:rsidP="00976C0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</w:p>
    <w:p w14:paraId="3BB8F755" w14:textId="77777777" w:rsidR="00976C0D" w:rsidRPr="00285EB4" w:rsidRDefault="00976C0D" w:rsidP="00976C0D">
      <w:pPr>
        <w:pStyle w:val="ListParagraph"/>
        <w:spacing w:line="360" w:lineRule="auto"/>
        <w:ind w:left="0"/>
        <w:contextualSpacing w:val="0"/>
        <w:rPr>
          <w:rFonts w:ascii="Arial" w:hAnsi="Arial" w:cs="Arial"/>
        </w:rPr>
      </w:pPr>
    </w:p>
    <w:p w14:paraId="41F5570A" w14:textId="559DD312" w:rsidR="00976C0D" w:rsidRDefault="00976C0D" w:rsidP="00976C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useful publications</w:t>
      </w:r>
    </w:p>
    <w:p w14:paraId="22B73E52" w14:textId="202EF339" w:rsidR="00382347" w:rsidRPr="00382347" w:rsidRDefault="00382347" w:rsidP="00976C0D">
      <w:pPr>
        <w:spacing w:line="360" w:lineRule="auto"/>
        <w:rPr>
          <w:rFonts w:ascii="Arial" w:hAnsi="Arial" w:cs="Arial"/>
          <w:b/>
          <w:color w:val="FF0000"/>
          <w:sz w:val="16"/>
          <w:szCs w:val="16"/>
        </w:rPr>
      </w:pPr>
      <w:r w:rsidRPr="00382347">
        <w:rPr>
          <w:rFonts w:ascii="Arial" w:hAnsi="Arial" w:cs="Arial"/>
          <w:b/>
          <w:color w:val="FF0000"/>
          <w:sz w:val="16"/>
          <w:szCs w:val="16"/>
        </w:rPr>
        <w:t>Updated November 2021</w:t>
      </w:r>
    </w:p>
    <w:p w14:paraId="6CE84AB4" w14:textId="77777777" w:rsidR="00976C0D" w:rsidRDefault="00976C0D" w:rsidP="00976C0D">
      <w:pPr>
        <w:spacing w:line="360" w:lineRule="auto"/>
        <w:rPr>
          <w:rFonts w:ascii="Arial" w:hAnsi="Arial" w:cs="Arial"/>
        </w:rPr>
      </w:pPr>
    </w:p>
    <w:p w14:paraId="0D316CE6" w14:textId="77777777" w:rsidR="00976C0D" w:rsidRDefault="00976C0D"/>
    <w:sectPr w:rsidR="0097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D6E41"/>
    <w:multiLevelType w:val="hybridMultilevel"/>
    <w:tmpl w:val="0C7E9FFA"/>
    <w:lvl w:ilvl="0" w:tplc="57C8E670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0D"/>
    <w:rsid w:val="00136C40"/>
    <w:rsid w:val="00382347"/>
    <w:rsid w:val="00653BDD"/>
    <w:rsid w:val="00976C0D"/>
    <w:rsid w:val="00A213C6"/>
    <w:rsid w:val="00AF0447"/>
    <w:rsid w:val="00B00A01"/>
    <w:rsid w:val="00B36556"/>
    <w:rsid w:val="00BE2ADC"/>
    <w:rsid w:val="00DC0809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653B"/>
  <w15:chartTrackingRefBased/>
  <w15:docId w15:val="{A2C329C4-0BC1-5C4C-B5A3-68FBB87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C0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6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upervised-toothbrushing-program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oral-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improving-oral-health-supervised-tooth-brushing-programme-toolk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-for-early-years-providers.education.gov.uk/safeguarding-and-welfare/oral-health" TargetMode="External"/><Relationship Id="rId10" Type="http://schemas.openxmlformats.org/officeDocument/2006/relationships/hyperlink" Target="https://www.pacey.org.uk/working-in-childcare/spotlight-on/oral-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ase-studies/smile4life-in-north-west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Lesser</dc:creator>
  <cp:keywords/>
  <dc:description/>
  <cp:lastModifiedBy>Georgina Lesser</cp:lastModifiedBy>
  <cp:revision>8</cp:revision>
  <cp:lastPrinted>2021-12-07T17:18:00Z</cp:lastPrinted>
  <dcterms:created xsi:type="dcterms:W3CDTF">2021-10-29T15:50:00Z</dcterms:created>
  <dcterms:modified xsi:type="dcterms:W3CDTF">2021-12-07T17:18:00Z</dcterms:modified>
</cp:coreProperties>
</file>